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2F24BD3B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C05983">
        <w:rPr>
          <w:rFonts w:ascii="Georgia" w:hAnsi="Georgia"/>
          <w:lang w:val="en-AU"/>
        </w:rPr>
        <w:t>Daniel Andrews</w:t>
      </w:r>
      <w:r w:rsidR="00691FC4">
        <w:rPr>
          <w:rFonts w:ascii="Georgia" w:hAnsi="Georgia"/>
          <w:lang w:val="en-AU"/>
        </w:rPr>
        <w:t xml:space="preserve"> – </w:t>
      </w:r>
      <w:r w:rsidR="00C05983">
        <w:rPr>
          <w:rFonts w:ascii="Georgia" w:hAnsi="Georgia"/>
          <w:lang w:val="en-AU"/>
        </w:rPr>
        <w:t>Premier of Victoria</w:t>
      </w:r>
    </w:p>
    <w:p w14:paraId="3EB6AF1F" w14:textId="6C7B4C82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C05983">
        <w:rPr>
          <w:rFonts w:ascii="Georgia" w:hAnsi="Georgia"/>
          <w:lang w:val="en-AU"/>
        </w:rPr>
        <w:t>Parliament House, Spring Street East Melbourne VIC 3002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D1118"/>
    <w:rsid w:val="00C05983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2022-01-26T02:56:00Z</dcterms:modified>
</cp:coreProperties>
</file>