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0B66" w14:textId="77777777" w:rsidR="00CF29CA" w:rsidRDefault="000452A9">
      <w:pPr>
        <w:spacing w:after="46" w:line="259" w:lineRule="auto"/>
        <w:ind w:left="0" w:firstLine="0"/>
        <w:jc w:val="left"/>
      </w:pPr>
      <w:bookmarkStart w:id="0" w:name="_GoBack"/>
      <w:bookmarkEnd w:id="0"/>
      <w:r>
        <w:rPr>
          <w:noProof/>
        </w:rPr>
        <w:drawing>
          <wp:inline distT="0" distB="0" distL="0" distR="0" wp14:anchorId="10A58930" wp14:editId="398CB41B">
            <wp:extent cx="2176663" cy="549251"/>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2176663" cy="549251"/>
                    </a:xfrm>
                    <a:prstGeom prst="rect">
                      <a:avLst/>
                    </a:prstGeom>
                  </pic:spPr>
                </pic:pic>
              </a:graphicData>
            </a:graphic>
          </wp:inline>
        </w:drawing>
      </w:r>
    </w:p>
    <w:p w14:paraId="4C1945C9" w14:textId="77777777" w:rsidR="00CF29CA" w:rsidRDefault="000452A9">
      <w:pPr>
        <w:spacing w:after="291" w:line="259" w:lineRule="auto"/>
        <w:ind w:left="43"/>
        <w:jc w:val="left"/>
      </w:pPr>
      <w:r>
        <w:rPr>
          <w:sz w:val="32"/>
        </w:rPr>
        <w:t>ATO Interpretative Decision</w:t>
      </w:r>
    </w:p>
    <w:p w14:paraId="009701EC" w14:textId="77777777" w:rsidR="00CF29CA" w:rsidRDefault="000452A9">
      <w:pPr>
        <w:spacing w:after="228" w:line="259" w:lineRule="auto"/>
        <w:ind w:left="43"/>
        <w:jc w:val="left"/>
      </w:pPr>
      <w:r>
        <w:rPr>
          <w:sz w:val="32"/>
        </w:rPr>
        <w:t>ATO ID 2005/337</w:t>
      </w:r>
    </w:p>
    <w:p w14:paraId="3C315C4E" w14:textId="77777777" w:rsidR="00CF29CA" w:rsidRDefault="000452A9">
      <w:pPr>
        <w:spacing w:after="0" w:line="259" w:lineRule="auto"/>
        <w:ind w:left="43"/>
        <w:jc w:val="left"/>
      </w:pPr>
      <w:r>
        <w:rPr>
          <w:sz w:val="26"/>
        </w:rPr>
        <w:t>Goods and Services Tax</w:t>
      </w:r>
      <w:r>
        <w:t xml:space="preserve"> </w:t>
      </w:r>
    </w:p>
    <w:p w14:paraId="4CAEDE33" w14:textId="77777777" w:rsidR="00CF29CA" w:rsidRDefault="000452A9">
      <w:pPr>
        <w:spacing w:after="178" w:line="259" w:lineRule="auto"/>
        <w:ind w:left="43"/>
        <w:jc w:val="left"/>
      </w:pPr>
      <w:r>
        <w:rPr>
          <w:sz w:val="26"/>
        </w:rPr>
        <w:t>GST and a local government as an associate of State Government departments</w:t>
      </w:r>
    </w:p>
    <w:p w14:paraId="6B8F22DE" w14:textId="77777777" w:rsidR="00CF29CA" w:rsidRDefault="000452A9">
      <w:pPr>
        <w:ind w:left="43" w:right="122"/>
      </w:pPr>
      <w:r>
        <w:t xml:space="preserve">FOI status: may be released </w:t>
      </w:r>
    </w:p>
    <w:p w14:paraId="6D397E68" w14:textId="77777777" w:rsidR="00CF29CA" w:rsidRDefault="000452A9">
      <w:pPr>
        <w:spacing w:after="562"/>
        <w:ind w:left="43" w:right="122"/>
      </w:pPr>
      <w:r>
        <w:t>Status of this decision: Decision Current</w:t>
      </w:r>
    </w:p>
    <w:p w14:paraId="51B33B04" w14:textId="77777777" w:rsidR="00CF29CA" w:rsidRDefault="000452A9">
      <w:pPr>
        <w:spacing w:after="222" w:line="238" w:lineRule="auto"/>
        <w:ind w:left="257" w:right="405" w:firstLine="320"/>
        <w:jc w:val="left"/>
      </w:pPr>
      <w:r>
        <w:t>CAUTION: This is an edited and summarised record of a Tax Office decision. This record is not published as a form of advice. It is being made available for your inspection to meet FOI requirements, because it may be used by an officer in making another decision.</w:t>
      </w:r>
    </w:p>
    <w:p w14:paraId="63EBDD32" w14:textId="77777777" w:rsidR="00CF29CA" w:rsidRDefault="000452A9">
      <w:pPr>
        <w:spacing w:after="217"/>
        <w:ind w:left="282" w:right="122"/>
      </w:pPr>
      <w:r>
        <w:t>This ATOID provides you with the following level of protection:</w:t>
      </w:r>
    </w:p>
    <w:p w14:paraId="6A91B1B6" w14:textId="77777777" w:rsidR="00CF29CA" w:rsidRDefault="000452A9">
      <w:pPr>
        <w:spacing w:after="980" w:line="238" w:lineRule="auto"/>
        <w:ind w:left="267" w:right="405"/>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5E63617" wp14:editId="4BB5F8BB">
                <wp:simplePos x="0" y="0"/>
                <wp:positionH relativeFrom="column">
                  <wp:posOffset>30514</wp:posOffset>
                </wp:positionH>
                <wp:positionV relativeFrom="paragraph">
                  <wp:posOffset>-1141542</wp:posOffset>
                </wp:positionV>
                <wp:extent cx="6702902" cy="2349576"/>
                <wp:effectExtent l="0" t="0" r="0" b="0"/>
                <wp:wrapNone/>
                <wp:docPr id="2102" name="Group 2102"/>
                <wp:cNvGraphicFramePr/>
                <a:graphic xmlns:a="http://schemas.openxmlformats.org/drawingml/2006/main">
                  <a:graphicData uri="http://schemas.microsoft.com/office/word/2010/wordprocessingGroup">
                    <wpg:wgp>
                      <wpg:cNvGrpSpPr/>
                      <wpg:grpSpPr>
                        <a:xfrm>
                          <a:off x="0" y="0"/>
                          <a:ext cx="6702902" cy="2349576"/>
                          <a:chOff x="0" y="0"/>
                          <a:chExt cx="6702902" cy="2349576"/>
                        </a:xfrm>
                      </wpg:grpSpPr>
                      <wps:wsp>
                        <wps:cNvPr id="2788" name="Shape 2788"/>
                        <wps:cNvSpPr/>
                        <wps:spPr>
                          <a:xfrm>
                            <a:off x="0" y="0"/>
                            <a:ext cx="6702902" cy="10171"/>
                          </a:xfrm>
                          <a:custGeom>
                            <a:avLst/>
                            <a:gdLst/>
                            <a:ahLst/>
                            <a:cxnLst/>
                            <a:rect l="0" t="0" r="0" b="0"/>
                            <a:pathLst>
                              <a:path w="6702902" h="10171">
                                <a:moveTo>
                                  <a:pt x="0" y="0"/>
                                </a:moveTo>
                                <a:lnTo>
                                  <a:pt x="6702902" y="0"/>
                                </a:lnTo>
                                <a:lnTo>
                                  <a:pt x="6702902" y="10171"/>
                                </a:lnTo>
                                <a:lnTo>
                                  <a:pt x="0" y="10171"/>
                                </a:lnTo>
                                <a:lnTo>
                                  <a:pt x="0" y="0"/>
                                </a:lnTo>
                              </a:path>
                            </a:pathLst>
                          </a:custGeom>
                          <a:ln w="0" cap="flat">
                            <a:miter lim="100000"/>
                          </a:ln>
                        </wps:spPr>
                        <wps:style>
                          <a:lnRef idx="0">
                            <a:srgbClr val="000000">
                              <a:alpha val="0"/>
                            </a:srgbClr>
                          </a:lnRef>
                          <a:fillRef idx="1">
                            <a:srgbClr val="808080"/>
                          </a:fillRef>
                          <a:effectRef idx="0">
                            <a:scrgbClr r="0" g="0" b="0"/>
                          </a:effectRef>
                          <a:fontRef idx="none"/>
                        </wps:style>
                        <wps:bodyPr/>
                      </wps:wsp>
                      <wps:wsp>
                        <wps:cNvPr id="2789" name="Shape 2789"/>
                        <wps:cNvSpPr/>
                        <wps:spPr>
                          <a:xfrm>
                            <a:off x="0" y="2339404"/>
                            <a:ext cx="6702902" cy="10171"/>
                          </a:xfrm>
                          <a:custGeom>
                            <a:avLst/>
                            <a:gdLst/>
                            <a:ahLst/>
                            <a:cxnLst/>
                            <a:rect l="0" t="0" r="0" b="0"/>
                            <a:pathLst>
                              <a:path w="6702902" h="10171">
                                <a:moveTo>
                                  <a:pt x="0" y="0"/>
                                </a:moveTo>
                                <a:lnTo>
                                  <a:pt x="6702902" y="0"/>
                                </a:lnTo>
                                <a:lnTo>
                                  <a:pt x="6702902" y="10171"/>
                                </a:lnTo>
                                <a:lnTo>
                                  <a:pt x="0" y="10171"/>
                                </a:lnTo>
                                <a:lnTo>
                                  <a:pt x="0" y="0"/>
                                </a:lnTo>
                              </a:path>
                            </a:pathLst>
                          </a:custGeom>
                          <a:ln w="0" cap="flat">
                            <a:miter lim="100000"/>
                          </a:ln>
                        </wps:spPr>
                        <wps:style>
                          <a:lnRef idx="0">
                            <a:srgbClr val="000000">
                              <a:alpha val="0"/>
                            </a:srgbClr>
                          </a:lnRef>
                          <a:fillRef idx="1">
                            <a:srgbClr val="2C2C2C"/>
                          </a:fillRef>
                          <a:effectRef idx="0">
                            <a:scrgbClr r="0" g="0" b="0"/>
                          </a:effectRef>
                          <a:fontRef idx="none"/>
                        </wps:style>
                        <wps:bodyPr/>
                      </wps:wsp>
                      <wps:wsp>
                        <wps:cNvPr id="10" name="Shape 10"/>
                        <wps:cNvSpPr/>
                        <wps:spPr>
                          <a:xfrm>
                            <a:off x="6692730" y="0"/>
                            <a:ext cx="10171" cy="2349576"/>
                          </a:xfrm>
                          <a:custGeom>
                            <a:avLst/>
                            <a:gdLst/>
                            <a:ahLst/>
                            <a:cxnLst/>
                            <a:rect l="0" t="0" r="0" b="0"/>
                            <a:pathLst>
                              <a:path w="10171" h="2349576">
                                <a:moveTo>
                                  <a:pt x="10171" y="0"/>
                                </a:moveTo>
                                <a:lnTo>
                                  <a:pt x="10171" y="2349576"/>
                                </a:lnTo>
                                <a:lnTo>
                                  <a:pt x="0" y="2349576"/>
                                </a:lnTo>
                                <a:lnTo>
                                  <a:pt x="0" y="10171"/>
                                </a:lnTo>
                                <a:lnTo>
                                  <a:pt x="10171" y="0"/>
                                </a:lnTo>
                                <a:close/>
                              </a:path>
                            </a:pathLst>
                          </a:custGeom>
                          <a:ln w="0" cap="flat">
                            <a:miter lim="100000"/>
                          </a:ln>
                        </wps:spPr>
                        <wps:style>
                          <a:lnRef idx="0">
                            <a:srgbClr val="000000">
                              <a:alpha val="0"/>
                            </a:srgbClr>
                          </a:lnRef>
                          <a:fillRef idx="1">
                            <a:srgbClr val="2C2C2C"/>
                          </a:fillRef>
                          <a:effectRef idx="0">
                            <a:scrgbClr r="0" g="0" b="0"/>
                          </a:effectRef>
                          <a:fontRef idx="none"/>
                        </wps:style>
                        <wps:bodyPr/>
                      </wps:wsp>
                      <wps:wsp>
                        <wps:cNvPr id="11" name="Shape 11"/>
                        <wps:cNvSpPr/>
                        <wps:spPr>
                          <a:xfrm>
                            <a:off x="0" y="0"/>
                            <a:ext cx="10171" cy="2349576"/>
                          </a:xfrm>
                          <a:custGeom>
                            <a:avLst/>
                            <a:gdLst/>
                            <a:ahLst/>
                            <a:cxnLst/>
                            <a:rect l="0" t="0" r="0" b="0"/>
                            <a:pathLst>
                              <a:path w="10171" h="2349576">
                                <a:moveTo>
                                  <a:pt x="0" y="0"/>
                                </a:moveTo>
                                <a:lnTo>
                                  <a:pt x="10171" y="0"/>
                                </a:lnTo>
                                <a:lnTo>
                                  <a:pt x="10171" y="2339404"/>
                                </a:lnTo>
                                <a:lnTo>
                                  <a:pt x="0" y="2349576"/>
                                </a:lnTo>
                                <a:lnTo>
                                  <a:pt x="0" y="0"/>
                                </a:lnTo>
                                <a:close/>
                              </a:path>
                            </a:pathLst>
                          </a:custGeom>
                          <a:ln w="0" cap="flat">
                            <a:miter lim="100000"/>
                          </a:ln>
                        </wps:spPr>
                        <wps:style>
                          <a:lnRef idx="0">
                            <a:srgbClr val="000000">
                              <a:alpha val="0"/>
                            </a:srgbClr>
                          </a:lnRef>
                          <a:fillRef idx="1">
                            <a:srgbClr val="808080"/>
                          </a:fillRef>
                          <a:effectRef idx="0">
                            <a:scrgbClr r="0" g="0" b="0"/>
                          </a:effectRef>
                          <a:fontRef idx="none"/>
                        </wps:style>
                        <wps:bodyPr/>
                      </wps:wsp>
                      <wps:wsp>
                        <wps:cNvPr id="2790" name="Shape 2790"/>
                        <wps:cNvSpPr/>
                        <wps:spPr>
                          <a:xfrm>
                            <a:off x="30514" y="30514"/>
                            <a:ext cx="6641874" cy="10171"/>
                          </a:xfrm>
                          <a:custGeom>
                            <a:avLst/>
                            <a:gdLst/>
                            <a:ahLst/>
                            <a:cxnLst/>
                            <a:rect l="0" t="0" r="0" b="0"/>
                            <a:pathLst>
                              <a:path w="6641874" h="10171">
                                <a:moveTo>
                                  <a:pt x="0" y="0"/>
                                </a:moveTo>
                                <a:lnTo>
                                  <a:pt x="6641874" y="0"/>
                                </a:lnTo>
                                <a:lnTo>
                                  <a:pt x="6641874" y="10171"/>
                                </a:lnTo>
                                <a:lnTo>
                                  <a:pt x="0" y="10171"/>
                                </a:lnTo>
                                <a:lnTo>
                                  <a:pt x="0" y="0"/>
                                </a:lnTo>
                              </a:path>
                            </a:pathLst>
                          </a:custGeom>
                          <a:ln w="0" cap="flat">
                            <a:miter lim="100000"/>
                          </a:ln>
                        </wps:spPr>
                        <wps:style>
                          <a:lnRef idx="0">
                            <a:srgbClr val="000000">
                              <a:alpha val="0"/>
                            </a:srgbClr>
                          </a:lnRef>
                          <a:fillRef idx="1">
                            <a:srgbClr val="2C2C2C"/>
                          </a:fillRef>
                          <a:effectRef idx="0">
                            <a:scrgbClr r="0" g="0" b="0"/>
                          </a:effectRef>
                          <a:fontRef idx="none"/>
                        </wps:style>
                        <wps:bodyPr/>
                      </wps:wsp>
                      <wps:wsp>
                        <wps:cNvPr id="2791" name="Shape 2791"/>
                        <wps:cNvSpPr/>
                        <wps:spPr>
                          <a:xfrm>
                            <a:off x="30514" y="2308890"/>
                            <a:ext cx="6641874" cy="10171"/>
                          </a:xfrm>
                          <a:custGeom>
                            <a:avLst/>
                            <a:gdLst/>
                            <a:ahLst/>
                            <a:cxnLst/>
                            <a:rect l="0" t="0" r="0" b="0"/>
                            <a:pathLst>
                              <a:path w="6641874" h="10171">
                                <a:moveTo>
                                  <a:pt x="0" y="0"/>
                                </a:moveTo>
                                <a:lnTo>
                                  <a:pt x="6641874" y="0"/>
                                </a:lnTo>
                                <a:lnTo>
                                  <a:pt x="6641874" y="10171"/>
                                </a:lnTo>
                                <a:lnTo>
                                  <a:pt x="0" y="10171"/>
                                </a:lnTo>
                                <a:lnTo>
                                  <a:pt x="0" y="0"/>
                                </a:lnTo>
                              </a:path>
                            </a:pathLst>
                          </a:custGeom>
                          <a:ln w="0" cap="flat">
                            <a:miter lim="100000"/>
                          </a:ln>
                        </wps:spPr>
                        <wps:style>
                          <a:lnRef idx="0">
                            <a:srgbClr val="000000">
                              <a:alpha val="0"/>
                            </a:srgbClr>
                          </a:lnRef>
                          <a:fillRef idx="1">
                            <a:srgbClr val="808080"/>
                          </a:fillRef>
                          <a:effectRef idx="0">
                            <a:scrgbClr r="0" g="0" b="0"/>
                          </a:effectRef>
                          <a:fontRef idx="none"/>
                        </wps:style>
                        <wps:bodyPr/>
                      </wps:wsp>
                      <wps:wsp>
                        <wps:cNvPr id="14" name="Shape 14"/>
                        <wps:cNvSpPr/>
                        <wps:spPr>
                          <a:xfrm>
                            <a:off x="6662217" y="30514"/>
                            <a:ext cx="10171" cy="2288547"/>
                          </a:xfrm>
                          <a:custGeom>
                            <a:avLst/>
                            <a:gdLst/>
                            <a:ahLst/>
                            <a:cxnLst/>
                            <a:rect l="0" t="0" r="0" b="0"/>
                            <a:pathLst>
                              <a:path w="10171" h="2288547">
                                <a:moveTo>
                                  <a:pt x="10171" y="0"/>
                                </a:moveTo>
                                <a:lnTo>
                                  <a:pt x="10171" y="2288547"/>
                                </a:lnTo>
                                <a:lnTo>
                                  <a:pt x="0" y="2288547"/>
                                </a:lnTo>
                                <a:lnTo>
                                  <a:pt x="0" y="10171"/>
                                </a:lnTo>
                                <a:lnTo>
                                  <a:pt x="10171" y="0"/>
                                </a:lnTo>
                                <a:close/>
                              </a:path>
                            </a:pathLst>
                          </a:custGeom>
                          <a:ln w="0" cap="flat">
                            <a:miter lim="100000"/>
                          </a:ln>
                        </wps:spPr>
                        <wps:style>
                          <a:lnRef idx="0">
                            <a:srgbClr val="000000">
                              <a:alpha val="0"/>
                            </a:srgbClr>
                          </a:lnRef>
                          <a:fillRef idx="1">
                            <a:srgbClr val="808080"/>
                          </a:fillRef>
                          <a:effectRef idx="0">
                            <a:scrgbClr r="0" g="0" b="0"/>
                          </a:effectRef>
                          <a:fontRef idx="none"/>
                        </wps:style>
                        <wps:bodyPr/>
                      </wps:wsp>
                      <wps:wsp>
                        <wps:cNvPr id="15" name="Shape 15"/>
                        <wps:cNvSpPr/>
                        <wps:spPr>
                          <a:xfrm>
                            <a:off x="30514" y="30514"/>
                            <a:ext cx="10171" cy="2288547"/>
                          </a:xfrm>
                          <a:custGeom>
                            <a:avLst/>
                            <a:gdLst/>
                            <a:ahLst/>
                            <a:cxnLst/>
                            <a:rect l="0" t="0" r="0" b="0"/>
                            <a:pathLst>
                              <a:path w="10171" h="2288547">
                                <a:moveTo>
                                  <a:pt x="0" y="0"/>
                                </a:moveTo>
                                <a:lnTo>
                                  <a:pt x="10171" y="0"/>
                                </a:lnTo>
                                <a:lnTo>
                                  <a:pt x="10171" y="2278376"/>
                                </a:lnTo>
                                <a:lnTo>
                                  <a:pt x="0" y="2288547"/>
                                </a:lnTo>
                                <a:lnTo>
                                  <a:pt x="0" y="0"/>
                                </a:lnTo>
                                <a:close/>
                              </a:path>
                            </a:pathLst>
                          </a:custGeom>
                          <a:ln w="0" cap="flat">
                            <a:miter lim="100000"/>
                          </a:ln>
                        </wps:spPr>
                        <wps:style>
                          <a:lnRef idx="0">
                            <a:srgbClr val="000000">
                              <a:alpha val="0"/>
                            </a:srgbClr>
                          </a:lnRef>
                          <a:fillRef idx="1">
                            <a:srgbClr val="2C2C2C"/>
                          </a:fillRef>
                          <a:effectRef idx="0">
                            <a:scrgbClr r="0" g="0" b="0"/>
                          </a:effectRef>
                          <a:fontRef idx="none"/>
                        </wps:style>
                        <wps:bodyPr/>
                      </wps:wsp>
                      <pic:pic xmlns:pic="http://schemas.openxmlformats.org/drawingml/2006/picture">
                        <pic:nvPicPr>
                          <pic:cNvPr id="27" name="Picture 27"/>
                          <pic:cNvPicPr/>
                        </pic:nvPicPr>
                        <pic:blipFill>
                          <a:blip r:embed="rId5"/>
                          <a:stretch>
                            <a:fillRect/>
                          </a:stretch>
                        </pic:blipFill>
                        <pic:spPr>
                          <a:xfrm>
                            <a:off x="142399" y="142398"/>
                            <a:ext cx="203426" cy="203426"/>
                          </a:xfrm>
                          <a:prstGeom prst="rect">
                            <a:avLst/>
                          </a:prstGeom>
                        </pic:spPr>
                      </pic:pic>
                    </wpg:wgp>
                  </a:graphicData>
                </a:graphic>
              </wp:anchor>
            </w:drawing>
          </mc:Choice>
          <mc:Fallback xmlns:a="http://schemas.openxmlformats.org/drawingml/2006/main">
            <w:pict>
              <v:group id="Group 2102" style="width:527.788pt;height:185.006pt;position:absolute;z-index:-2147483642;mso-position-horizontal-relative:text;mso-position-horizontal:absolute;margin-left:2.40268pt;mso-position-vertical-relative:text;margin-top:-89.8853pt;" coordsize="67029,23495">
                <v:shape id="Shape 2792" style="position:absolute;width:67029;height:101;left:0;top:0;" coordsize="6702902,10171" path="m0,0l6702902,0l6702902,10171l0,10171l0,0">
                  <v:stroke weight="0pt" endcap="flat" joinstyle="miter" miterlimit="4" on="false" color="#000000" opacity="0"/>
                  <v:fill on="true" color="#808080"/>
                </v:shape>
                <v:shape id="Shape 2793" style="position:absolute;width:67029;height:101;left:0;top:23394;" coordsize="6702902,10171" path="m0,0l6702902,0l6702902,10171l0,10171l0,0">
                  <v:stroke weight="0pt" endcap="flat" joinstyle="miter" miterlimit="4" on="false" color="#000000" opacity="0"/>
                  <v:fill on="true" color="#2c2c2c"/>
                </v:shape>
                <v:shape id="Shape 10" style="position:absolute;width:101;height:23495;left:66927;top:0;" coordsize="10171,2349576" path="m10171,0l10171,2349576l0,2349576l0,10171l10171,0x">
                  <v:stroke weight="0pt" endcap="flat" joinstyle="miter" miterlimit="4" on="false" color="#000000" opacity="0"/>
                  <v:fill on="true" color="#2c2c2c"/>
                </v:shape>
                <v:shape id="Shape 11" style="position:absolute;width:101;height:23495;left:0;top:0;" coordsize="10171,2349576" path="m0,0l10171,0l10171,2339404l0,2349576l0,0x">
                  <v:stroke weight="0pt" endcap="flat" joinstyle="miter" miterlimit="4" on="false" color="#000000" opacity="0"/>
                  <v:fill on="true" color="#808080"/>
                </v:shape>
                <v:shape id="Shape 2794" style="position:absolute;width:66418;height:101;left:305;top:305;" coordsize="6641874,10171" path="m0,0l6641874,0l6641874,10171l0,10171l0,0">
                  <v:stroke weight="0pt" endcap="flat" joinstyle="miter" miterlimit="4" on="false" color="#000000" opacity="0"/>
                  <v:fill on="true" color="#2c2c2c"/>
                </v:shape>
                <v:shape id="Shape 2795" style="position:absolute;width:66418;height:101;left:305;top:23088;" coordsize="6641874,10171" path="m0,0l6641874,0l6641874,10171l0,10171l0,0">
                  <v:stroke weight="0pt" endcap="flat" joinstyle="miter" miterlimit="4" on="false" color="#000000" opacity="0"/>
                  <v:fill on="true" color="#808080"/>
                </v:shape>
                <v:shape id="Shape 14" style="position:absolute;width:101;height:22885;left:66622;top:305;" coordsize="10171,2288547" path="m10171,0l10171,2288547l0,2288547l0,10171l10171,0x">
                  <v:stroke weight="0pt" endcap="flat" joinstyle="miter" miterlimit="4" on="false" color="#000000" opacity="0"/>
                  <v:fill on="true" color="#808080"/>
                </v:shape>
                <v:shape id="Shape 15" style="position:absolute;width:101;height:22885;left:305;top:305;" coordsize="10171,2288547" path="m0,0l10171,0l10171,2278376l0,2288547l0,0x">
                  <v:stroke weight="0pt" endcap="flat" joinstyle="miter" miterlimit="4" on="false" color="#000000" opacity="0"/>
                  <v:fill on="true" color="#2c2c2c"/>
                </v:shape>
                <v:shape id="Picture 27" style="position:absolute;width:2034;height:2034;left:1423;top:1423;" filled="f">
                  <v:imagedata r:id="rId6"/>
                </v:shape>
              </v:group>
            </w:pict>
          </mc:Fallback>
        </mc:AlternateContent>
      </w:r>
      <w:r>
        <w:t>If you reasonably apply this decision in good faith to your own circumstances (which are not materially different from those described in the decision), and the decision is later found to be incorrect you will not be liable to pay any penalty or interest. However, you will be required to pay any underpaid tax (or repay any over­claimed credit, grant or benefit), provided the time limits under the law allow it. If you do intend to apply this decision to your own circumstances, you will need to ensure that the relevant provisions referred to in the decision have not been amended or repealed. You may wish to obtain further advice from the Tax Office or from a professional adviser.</w:t>
      </w:r>
    </w:p>
    <w:p w14:paraId="725B7831" w14:textId="77777777" w:rsidR="00CF29CA" w:rsidRDefault="000452A9">
      <w:pPr>
        <w:pStyle w:val="Heading1"/>
        <w:ind w:left="43"/>
      </w:pPr>
      <w:r>
        <w:t>Issue</w:t>
      </w:r>
    </w:p>
    <w:p w14:paraId="3A1EF147" w14:textId="77777777" w:rsidR="00CF29CA" w:rsidRDefault="000452A9">
      <w:pPr>
        <w:spacing w:after="245"/>
        <w:ind w:left="43" w:right="122"/>
      </w:pPr>
      <w:r>
        <w:t>For the purposes of Division 72 of the A New Tax System (Goods and Services Tax) Act 1999 (GST Act) is the entity, a local government body, an associate of Government Departments of the State in which they reside?</w:t>
      </w:r>
    </w:p>
    <w:p w14:paraId="501B05D6" w14:textId="77777777" w:rsidR="00CF29CA" w:rsidRDefault="000452A9">
      <w:pPr>
        <w:pStyle w:val="Heading1"/>
        <w:ind w:left="43"/>
      </w:pPr>
      <w:r>
        <w:t>Decision</w:t>
      </w:r>
    </w:p>
    <w:p w14:paraId="37BBC2CD" w14:textId="77777777" w:rsidR="00CF29CA" w:rsidRDefault="000452A9">
      <w:pPr>
        <w:spacing w:after="261"/>
        <w:ind w:left="43" w:right="122"/>
      </w:pPr>
      <w:r>
        <w:t>No, for the purposes of Division 72 of the GST Act, the entity is not an associate of Government Departments of the State in which they reside.</w:t>
      </w:r>
    </w:p>
    <w:p w14:paraId="392D0711" w14:textId="77777777" w:rsidR="00CF29CA" w:rsidRDefault="000452A9">
      <w:pPr>
        <w:pStyle w:val="Heading1"/>
        <w:ind w:left="43"/>
      </w:pPr>
      <w:r>
        <w:t>Facts</w:t>
      </w:r>
    </w:p>
    <w:p w14:paraId="0F74F3CA" w14:textId="77777777" w:rsidR="00CF29CA" w:rsidRDefault="000452A9">
      <w:pPr>
        <w:spacing w:after="181"/>
        <w:ind w:left="43" w:right="122"/>
      </w:pPr>
      <w:r>
        <w:t>The entity is a local government body, which is a body corporate, and is registered for goods and services tax (GST).</w:t>
      </w:r>
    </w:p>
    <w:p w14:paraId="14B95358" w14:textId="77777777" w:rsidR="00CF29CA" w:rsidRDefault="000452A9">
      <w:pPr>
        <w:spacing w:after="261"/>
        <w:ind w:left="43" w:right="268"/>
      </w:pPr>
      <w:r>
        <w:t>The entity was formed as a local governing body under an Act of Parliament of a State, to make local laws for and otherwise ensure the good rule and government of the territory within its jurisdiction. The local government has autonomy of administration and only in extreme situations would the Minister interfere with the management and administration of matters in the local government body</w:t>
      </w:r>
    </w:p>
    <w:p w14:paraId="24BF0AF9" w14:textId="77777777" w:rsidR="00CF29CA" w:rsidRDefault="000452A9">
      <w:pPr>
        <w:pStyle w:val="Heading1"/>
        <w:ind w:left="43"/>
      </w:pPr>
      <w:r>
        <w:t>Reasons for Decision</w:t>
      </w:r>
    </w:p>
    <w:p w14:paraId="5014A82E" w14:textId="77777777" w:rsidR="00CF29CA" w:rsidRDefault="000452A9">
      <w:pPr>
        <w:spacing w:after="197"/>
        <w:ind w:left="43" w:right="122"/>
      </w:pPr>
      <w:r>
        <w:t>Division 72 of the GST Act sets out special rules that apply to supplies and acquisitions made between associates for inadequate or no consideration. An entity will be an 'associate' of another entity for the purposes of Division 72 of the GST Act if it meets:</w:t>
      </w:r>
    </w:p>
    <w:p w14:paraId="4384CF9E" w14:textId="77777777" w:rsidR="00CF29CA" w:rsidRDefault="000452A9">
      <w:pPr>
        <w:spacing w:line="259" w:lineRule="auto"/>
        <w:ind w:left="844"/>
        <w:jc w:val="left"/>
      </w:pPr>
      <w:r>
        <w:rPr>
          <w:rFonts w:ascii="Segoe UI Symbol" w:eastAsia="Segoe UI Symbol" w:hAnsi="Segoe UI Symbol" w:cs="Segoe UI Symbol"/>
        </w:rPr>
        <w:t></w:t>
      </w:r>
    </w:p>
    <w:p w14:paraId="591DB13F" w14:textId="77777777" w:rsidR="00CF29CA" w:rsidRDefault="000452A9">
      <w:pPr>
        <w:spacing w:after="210"/>
        <w:ind w:left="1500" w:right="122"/>
      </w:pPr>
      <w:r>
        <w:t xml:space="preserve"> the definition of associate in section 195­1 of the GST Act, or</w:t>
      </w:r>
    </w:p>
    <w:p w14:paraId="63259759" w14:textId="77777777" w:rsidR="00CF29CA" w:rsidRDefault="000452A9">
      <w:pPr>
        <w:spacing w:line="259" w:lineRule="auto"/>
        <w:ind w:left="844"/>
        <w:jc w:val="left"/>
      </w:pPr>
      <w:r>
        <w:rPr>
          <w:rFonts w:ascii="Segoe UI Symbol" w:eastAsia="Segoe UI Symbol" w:hAnsi="Segoe UI Symbol" w:cs="Segoe UI Symbol"/>
        </w:rPr>
        <w:lastRenderedPageBreak/>
        <w:t></w:t>
      </w:r>
    </w:p>
    <w:p w14:paraId="342C2CE4" w14:textId="77777777" w:rsidR="00CF29CA" w:rsidRDefault="000452A9">
      <w:pPr>
        <w:spacing w:after="181"/>
        <w:ind w:left="1500" w:right="887"/>
      </w:pPr>
      <w:r>
        <w:t xml:space="preserve"> the requirements of one of the provisions in Subdivision 72­D of the GST Act which treats certain entities as associates.</w:t>
      </w:r>
    </w:p>
    <w:p w14:paraId="1DC2EE76" w14:textId="77777777" w:rsidR="00CF29CA" w:rsidRDefault="000452A9">
      <w:pPr>
        <w:spacing w:after="197"/>
        <w:ind w:left="43" w:right="122"/>
      </w:pPr>
      <w:r>
        <w:t>An 'associate' is defined in section 195­1 of the GST Act as having the meaning given by section 318 of the Income Tax Assessment Act 1936 (ITAA 1936). The entity is a body corporate and is therefore a company for income tax and GST purposes (section 995­1 of Income Tax Assessment Act 1997 and section 195­1 of the GST Act). The relevant provision in section 318 of the ITAA 1936 is subsection 318(2) of the ITAA 1936 which sets out the associates of companies.</w:t>
      </w:r>
    </w:p>
    <w:p w14:paraId="5A42F138" w14:textId="77777777" w:rsidR="00CF29CA" w:rsidRDefault="000452A9">
      <w:pPr>
        <w:spacing w:after="197"/>
        <w:ind w:left="43" w:right="269"/>
      </w:pPr>
      <w:r>
        <w:t>As Government Departments of States are not natural persons, partnerships, trusts or companies, they will only be associates of the entity, the local government body, if the requirements of paragraph 318(2)(d) of the ITAA 1936 are satisfied. Paragraph 318(2)(d) of the ITAA 1936 provides that an entity (controlling entity) will be an associate of a company where:</w:t>
      </w:r>
    </w:p>
    <w:p w14:paraId="552CCEB4" w14:textId="77777777" w:rsidR="00CF29CA" w:rsidRDefault="000452A9">
      <w:pPr>
        <w:spacing w:line="259" w:lineRule="auto"/>
        <w:ind w:left="844"/>
        <w:jc w:val="left"/>
      </w:pPr>
      <w:r>
        <w:rPr>
          <w:rFonts w:ascii="Segoe UI Symbol" w:eastAsia="Segoe UI Symbol" w:hAnsi="Segoe UI Symbol" w:cs="Segoe UI Symbol"/>
        </w:rPr>
        <w:t></w:t>
      </w:r>
    </w:p>
    <w:p w14:paraId="3302B5AB" w14:textId="77777777" w:rsidR="00CF29CA" w:rsidRDefault="000452A9">
      <w:pPr>
        <w:spacing w:after="197"/>
        <w:ind w:left="1500" w:right="250"/>
      </w:pPr>
      <w:r>
        <w:t xml:space="preserve"> the company is sufficiently influenced by the controlling entity, alone, or together with associates of the controlling entity, or</w:t>
      </w:r>
    </w:p>
    <w:p w14:paraId="0A0038A4" w14:textId="77777777" w:rsidR="00CF29CA" w:rsidRDefault="000452A9">
      <w:pPr>
        <w:spacing w:line="259" w:lineRule="auto"/>
        <w:ind w:left="844"/>
        <w:jc w:val="left"/>
      </w:pPr>
      <w:r>
        <w:rPr>
          <w:rFonts w:ascii="Segoe UI Symbol" w:eastAsia="Segoe UI Symbol" w:hAnsi="Segoe UI Symbol" w:cs="Segoe UI Symbol"/>
        </w:rPr>
        <w:t></w:t>
      </w:r>
    </w:p>
    <w:p w14:paraId="4589A50C" w14:textId="77777777" w:rsidR="00CF29CA" w:rsidRDefault="000452A9">
      <w:pPr>
        <w:spacing w:after="197"/>
        <w:ind w:left="1500" w:right="374"/>
      </w:pPr>
      <w:r>
        <w:t xml:space="preserve"> the controlling entity, alone, or together with an associate of the controlling entity has a majority voting interest in the company.</w:t>
      </w:r>
    </w:p>
    <w:p w14:paraId="4C8DA369" w14:textId="77777777" w:rsidR="00CF29CA" w:rsidRDefault="000452A9">
      <w:pPr>
        <w:spacing w:after="181"/>
        <w:ind w:left="43" w:right="220"/>
      </w:pPr>
      <w:r>
        <w:t xml:space="preserve">The entity, the local government body, has autonomy of administration and only in extreme situations would the Minister interfere with the management and administration of matters in the local government body. The entity neither operates solely in the interests of the State nor is controlled by the State, but is an autonomous body, separate from the State. As such, the State and the Government Departments of the State are not </w:t>
      </w:r>
      <w:proofErr w:type="gramStart"/>
      <w:r>
        <w:t>associates</w:t>
      </w:r>
      <w:proofErr w:type="gramEnd"/>
      <w:r>
        <w:t xml:space="preserve"> of the entity under section 318 of the ITAA 1936 or section 195­1 of the GST Act.</w:t>
      </w:r>
    </w:p>
    <w:p w14:paraId="70C2DC1E" w14:textId="77777777" w:rsidR="00CF29CA" w:rsidRDefault="000452A9">
      <w:pPr>
        <w:ind w:left="43" w:right="122"/>
      </w:pPr>
      <w:r>
        <w:t>In Subdivision 72­D of the GST Act, section 72­100 of the GST Act outlines who are associates of State or</w:t>
      </w:r>
    </w:p>
    <w:p w14:paraId="7E835717" w14:textId="77777777" w:rsidR="00CF29CA" w:rsidRDefault="000452A9">
      <w:pPr>
        <w:spacing w:after="194"/>
        <w:ind w:left="43" w:right="122"/>
      </w:pPr>
      <w:r>
        <w:t>Territory Government entities. It provides that Division 72 of the GST Act applies to a government entity that is:</w:t>
      </w:r>
    </w:p>
    <w:p w14:paraId="0FB118A7" w14:textId="77777777" w:rsidR="00CF29CA" w:rsidRDefault="000452A9">
      <w:pPr>
        <w:spacing w:line="259" w:lineRule="auto"/>
        <w:ind w:left="844"/>
        <w:jc w:val="left"/>
      </w:pPr>
      <w:r>
        <w:rPr>
          <w:rFonts w:ascii="Segoe UI Symbol" w:eastAsia="Segoe UI Symbol" w:hAnsi="Segoe UI Symbol" w:cs="Segoe UI Symbol"/>
        </w:rPr>
        <w:t></w:t>
      </w:r>
    </w:p>
    <w:p w14:paraId="180B658F" w14:textId="77777777" w:rsidR="00CF29CA" w:rsidRDefault="000452A9">
      <w:pPr>
        <w:spacing w:after="210"/>
        <w:ind w:left="1500" w:right="122"/>
      </w:pPr>
      <w:r>
        <w:t xml:space="preserve"> a Department of State of a State or Territory, or</w:t>
      </w:r>
    </w:p>
    <w:p w14:paraId="0843DCD8" w14:textId="77777777" w:rsidR="00CF29CA" w:rsidRDefault="000452A9">
      <w:pPr>
        <w:spacing w:line="259" w:lineRule="auto"/>
        <w:ind w:left="844"/>
        <w:jc w:val="left"/>
      </w:pPr>
      <w:r>
        <w:rPr>
          <w:rFonts w:ascii="Segoe UI Symbol" w:eastAsia="Segoe UI Symbol" w:hAnsi="Segoe UI Symbol" w:cs="Segoe UI Symbol"/>
        </w:rPr>
        <w:t></w:t>
      </w:r>
    </w:p>
    <w:p w14:paraId="2E7BFF4B" w14:textId="77777777" w:rsidR="00CF29CA" w:rsidRDefault="000452A9">
      <w:pPr>
        <w:spacing w:after="181"/>
        <w:ind w:left="1500" w:right="1050"/>
      </w:pPr>
      <w:r>
        <w:t xml:space="preserve"> an organisation, established by a State or Territory, of a kind referred to in paragraph (e) of the definition of government entity in section 41 of the A New Tax System (Australian Business Number) Act 1999 (ABN Act)</w:t>
      </w:r>
    </w:p>
    <w:p w14:paraId="65FDBC42" w14:textId="77777777" w:rsidR="00CF29CA" w:rsidRDefault="000452A9">
      <w:pPr>
        <w:spacing w:after="194"/>
        <w:ind w:left="43" w:right="122"/>
      </w:pPr>
      <w:r>
        <w:t>as if the government entity was an associate of:</w:t>
      </w:r>
    </w:p>
    <w:p w14:paraId="522C0BEA" w14:textId="77777777" w:rsidR="00CF29CA" w:rsidRDefault="000452A9">
      <w:pPr>
        <w:spacing w:line="259" w:lineRule="auto"/>
        <w:ind w:left="844"/>
        <w:jc w:val="left"/>
      </w:pPr>
      <w:r>
        <w:rPr>
          <w:rFonts w:ascii="Segoe UI Symbol" w:eastAsia="Segoe UI Symbol" w:hAnsi="Segoe UI Symbol" w:cs="Segoe UI Symbol"/>
        </w:rPr>
        <w:t></w:t>
      </w:r>
    </w:p>
    <w:p w14:paraId="7ED1E4F9" w14:textId="77777777" w:rsidR="00CF29CA" w:rsidRDefault="000452A9">
      <w:pPr>
        <w:spacing w:after="210"/>
        <w:ind w:left="1500" w:right="122"/>
      </w:pPr>
      <w:r>
        <w:t xml:space="preserve"> that State or Territory</w:t>
      </w:r>
    </w:p>
    <w:p w14:paraId="554A23E9" w14:textId="77777777" w:rsidR="00CF29CA" w:rsidRDefault="000452A9">
      <w:pPr>
        <w:spacing w:line="259" w:lineRule="auto"/>
        <w:ind w:left="844"/>
        <w:jc w:val="left"/>
      </w:pPr>
      <w:r>
        <w:rPr>
          <w:rFonts w:ascii="Segoe UI Symbol" w:eastAsia="Segoe UI Symbol" w:hAnsi="Segoe UI Symbol" w:cs="Segoe UI Symbol"/>
        </w:rPr>
        <w:t></w:t>
      </w:r>
    </w:p>
    <w:p w14:paraId="18507A70" w14:textId="77777777" w:rsidR="00CF29CA" w:rsidRDefault="000452A9">
      <w:pPr>
        <w:spacing w:after="197"/>
        <w:ind w:left="1500" w:right="965"/>
      </w:pPr>
      <w:r>
        <w:t xml:space="preserve"> every other Department of State of that State or Territory, or organisation, established by that State or Territory, of a kind referred to in paragraph (e) of the definition in section 41 of the ABN Act, and</w:t>
      </w:r>
    </w:p>
    <w:p w14:paraId="6275D787" w14:textId="77777777" w:rsidR="00CF29CA" w:rsidRDefault="000452A9">
      <w:pPr>
        <w:spacing w:line="259" w:lineRule="auto"/>
        <w:ind w:left="844"/>
        <w:jc w:val="left"/>
      </w:pPr>
      <w:r>
        <w:rPr>
          <w:rFonts w:ascii="Segoe UI Symbol" w:eastAsia="Segoe UI Symbol" w:hAnsi="Segoe UI Symbol" w:cs="Segoe UI Symbol"/>
        </w:rPr>
        <w:t></w:t>
      </w:r>
    </w:p>
    <w:p w14:paraId="5DDA42C3" w14:textId="77777777" w:rsidR="00CF29CA" w:rsidRDefault="000452A9">
      <w:pPr>
        <w:spacing w:after="178"/>
        <w:ind w:left="1500" w:right="122"/>
      </w:pPr>
      <w:r>
        <w:t xml:space="preserve"> any other associate of that State or Territory.</w:t>
      </w:r>
    </w:p>
    <w:p w14:paraId="19402230" w14:textId="77777777" w:rsidR="00CF29CA" w:rsidRDefault="000452A9">
      <w:pPr>
        <w:spacing w:after="222" w:line="238" w:lineRule="auto"/>
        <w:jc w:val="left"/>
      </w:pPr>
      <w:r>
        <w:t>Therefore, for the entity, the local government body, to be treated as an associate of a Department of the State in which they reside, it must be an organisation, established by a State or Territory, of a kind referred to in paragraph (e) of the definition of 'government entity' in section 41 of the ABN Act.</w:t>
      </w:r>
    </w:p>
    <w:p w14:paraId="4C6C3BC4" w14:textId="77777777" w:rsidR="00CF29CA" w:rsidRDefault="000452A9">
      <w:pPr>
        <w:spacing w:after="181"/>
        <w:ind w:left="43" w:right="122"/>
      </w:pPr>
      <w:r>
        <w:t>One of the requirements in paragraph (e) of the definition of 'government entity' in section 41 of the ABN Act is that the organisation is not an entity. The entity, a local government body, as a body corporate is an 'entity' for GST purposes (paragraph 184­1(1)(b) of the GST Act). Therefore, it does not satisfy paragraph (e) of the definition of 'government entity' and section 72­100 of the GST Act does not apply.</w:t>
      </w:r>
    </w:p>
    <w:p w14:paraId="6F3DAE1C" w14:textId="77777777" w:rsidR="00CF29CA" w:rsidRDefault="000452A9">
      <w:pPr>
        <w:spacing w:after="181"/>
        <w:ind w:left="43" w:right="122"/>
      </w:pPr>
      <w:r>
        <w:lastRenderedPageBreak/>
        <w:t>For the purposes of Division 72 of the GST Act, the entity, a local government body, is not an associate of the Government Departments of the State in which they reside.</w:t>
      </w:r>
    </w:p>
    <w:p w14:paraId="2C4D5532" w14:textId="77777777" w:rsidR="00CF29CA" w:rsidRDefault="000452A9">
      <w:pPr>
        <w:ind w:left="43" w:right="122"/>
      </w:pPr>
      <w:r>
        <w:t>Date of decision: 24 February 2005</w:t>
      </w:r>
    </w:p>
    <w:p w14:paraId="2DCA1DBB" w14:textId="77777777" w:rsidR="00CF29CA" w:rsidRDefault="000452A9">
      <w:pPr>
        <w:ind w:left="43" w:right="122"/>
      </w:pPr>
      <w:r>
        <w:t>Legislative References:</w:t>
      </w:r>
    </w:p>
    <w:p w14:paraId="3DE35C1C" w14:textId="77777777" w:rsidR="00CF29CA" w:rsidRDefault="000452A9">
      <w:pPr>
        <w:ind w:left="43" w:right="122"/>
      </w:pPr>
      <w:r>
        <w:t>A New Tax System (Goods and Services Tax) Act 1999</w:t>
      </w:r>
    </w:p>
    <w:p w14:paraId="56517B75" w14:textId="77777777" w:rsidR="00CF29CA" w:rsidRDefault="000452A9">
      <w:pPr>
        <w:ind w:left="43" w:right="122"/>
      </w:pPr>
      <w:r>
        <w:t xml:space="preserve">   Division 72</w:t>
      </w:r>
    </w:p>
    <w:p w14:paraId="0EFA16D1" w14:textId="77777777" w:rsidR="00CF29CA" w:rsidRDefault="000452A9">
      <w:pPr>
        <w:ind w:left="43" w:right="122"/>
      </w:pPr>
      <w:r>
        <w:t xml:space="preserve">   Subdivision 72­D</w:t>
      </w:r>
    </w:p>
    <w:p w14:paraId="2B4A0534" w14:textId="77777777" w:rsidR="00CF29CA" w:rsidRDefault="000452A9">
      <w:pPr>
        <w:ind w:left="43" w:right="122"/>
      </w:pPr>
      <w:r>
        <w:t xml:space="preserve">   section 72­100</w:t>
      </w:r>
    </w:p>
    <w:p w14:paraId="51B654FC" w14:textId="77777777" w:rsidR="00CF29CA" w:rsidRDefault="000452A9">
      <w:pPr>
        <w:ind w:left="43" w:right="122"/>
      </w:pPr>
      <w:r>
        <w:t xml:space="preserve">   paragraph 184­1(1)(b)</w:t>
      </w:r>
    </w:p>
    <w:p w14:paraId="5AE7311F" w14:textId="77777777" w:rsidR="00CF29CA" w:rsidRDefault="000452A9">
      <w:pPr>
        <w:spacing w:after="178"/>
        <w:ind w:left="43" w:right="122"/>
      </w:pPr>
      <w:r>
        <w:t xml:space="preserve">   section 195­1</w:t>
      </w:r>
    </w:p>
    <w:p w14:paraId="7254497A" w14:textId="77777777" w:rsidR="00CF29CA" w:rsidRDefault="000452A9">
      <w:pPr>
        <w:ind w:left="43" w:right="122"/>
      </w:pPr>
      <w:r>
        <w:t>Income Tax Assessment Act 1936</w:t>
      </w:r>
    </w:p>
    <w:p w14:paraId="2693B7A5" w14:textId="77777777" w:rsidR="00CF29CA" w:rsidRDefault="000452A9">
      <w:pPr>
        <w:ind w:left="43" w:right="122"/>
      </w:pPr>
      <w:r>
        <w:t xml:space="preserve">   section 318</w:t>
      </w:r>
    </w:p>
    <w:p w14:paraId="0BF90531" w14:textId="77777777" w:rsidR="00CF29CA" w:rsidRDefault="000452A9">
      <w:pPr>
        <w:ind w:left="43" w:right="122"/>
      </w:pPr>
      <w:r>
        <w:t xml:space="preserve">   subsection 318(2)</w:t>
      </w:r>
    </w:p>
    <w:p w14:paraId="6B48F0E1" w14:textId="77777777" w:rsidR="00CF29CA" w:rsidRDefault="000452A9">
      <w:pPr>
        <w:spacing w:after="194"/>
        <w:ind w:left="43" w:right="122"/>
      </w:pPr>
      <w:r>
        <w:t xml:space="preserve">   paragraph 318(2)(d)</w:t>
      </w:r>
    </w:p>
    <w:p w14:paraId="684DDDE6" w14:textId="77777777" w:rsidR="00CF29CA" w:rsidRDefault="000452A9">
      <w:pPr>
        <w:spacing w:after="181"/>
        <w:ind w:left="43" w:right="6933"/>
      </w:pPr>
      <w:r>
        <w:t>Income Tax Assessment Act 1997    995­1</w:t>
      </w:r>
    </w:p>
    <w:p w14:paraId="0E46ABA1" w14:textId="77777777" w:rsidR="00CF29CA" w:rsidRDefault="000452A9">
      <w:pPr>
        <w:spacing w:after="181"/>
        <w:ind w:left="43" w:right="4419"/>
      </w:pPr>
      <w:r>
        <w:t>A New Tax System (Australian Business Number) Act 1999    section 41</w:t>
      </w:r>
    </w:p>
    <w:p w14:paraId="4833089E" w14:textId="77777777" w:rsidR="00CF29CA" w:rsidRDefault="000452A9">
      <w:pPr>
        <w:ind w:left="43" w:right="122"/>
      </w:pPr>
      <w:r>
        <w:t xml:space="preserve">Keywords </w:t>
      </w:r>
    </w:p>
    <w:p w14:paraId="68DE7A06" w14:textId="77777777" w:rsidR="00CF29CA" w:rsidRDefault="000452A9">
      <w:pPr>
        <w:ind w:left="43" w:right="122"/>
      </w:pPr>
      <w:r>
        <w:t xml:space="preserve">Goods and services tax </w:t>
      </w:r>
    </w:p>
    <w:p w14:paraId="39FC3636" w14:textId="77777777" w:rsidR="00CF29CA" w:rsidRDefault="000452A9">
      <w:pPr>
        <w:ind w:left="43" w:right="122"/>
      </w:pPr>
      <w:r>
        <w:t xml:space="preserve">Government entities </w:t>
      </w:r>
    </w:p>
    <w:p w14:paraId="1BB87D07" w14:textId="77777777" w:rsidR="00CF29CA" w:rsidRDefault="000452A9">
      <w:pPr>
        <w:ind w:left="43" w:right="122"/>
      </w:pPr>
      <w:r>
        <w:t xml:space="preserve">GST special rules </w:t>
      </w:r>
    </w:p>
    <w:p w14:paraId="0FA12CFE" w14:textId="77777777" w:rsidR="00CF29CA" w:rsidRDefault="000452A9">
      <w:pPr>
        <w:ind w:left="43" w:right="122"/>
      </w:pPr>
      <w:r>
        <w:t xml:space="preserve">GST associates </w:t>
      </w:r>
    </w:p>
    <w:p w14:paraId="3547CFA3" w14:textId="77777777" w:rsidR="00CF29CA" w:rsidRDefault="000452A9">
      <w:pPr>
        <w:spacing w:after="194"/>
        <w:ind w:left="43" w:right="122"/>
      </w:pPr>
      <w:r>
        <w:t>Government related entities</w:t>
      </w:r>
    </w:p>
    <w:p w14:paraId="1EF55F02" w14:textId="77777777" w:rsidR="00CF29CA" w:rsidRDefault="000452A9">
      <w:pPr>
        <w:spacing w:after="178"/>
        <w:ind w:left="43" w:right="122"/>
      </w:pPr>
      <w:r>
        <w:t>Date of publication: 25 November 2005</w:t>
      </w:r>
    </w:p>
    <w:p w14:paraId="464A8B72" w14:textId="77777777" w:rsidR="00CF29CA" w:rsidRDefault="000452A9">
      <w:pPr>
        <w:ind w:left="43" w:right="122"/>
      </w:pPr>
      <w:r>
        <w:t xml:space="preserve">ISSN: 1445­2782 </w:t>
      </w:r>
    </w:p>
    <w:p w14:paraId="34D46556" w14:textId="77777777" w:rsidR="00CF29CA" w:rsidRDefault="000452A9">
      <w:pPr>
        <w:spacing w:after="207" w:line="259" w:lineRule="auto"/>
        <w:ind w:left="0" w:right="-57" w:firstLine="0"/>
        <w:jc w:val="left"/>
      </w:pPr>
      <w:r>
        <w:rPr>
          <w:rFonts w:ascii="Calibri" w:eastAsia="Calibri" w:hAnsi="Calibri" w:cs="Calibri"/>
          <w:noProof/>
          <w:sz w:val="22"/>
        </w:rPr>
        <mc:AlternateContent>
          <mc:Choice Requires="wpg">
            <w:drawing>
              <wp:inline distT="0" distB="0" distL="0" distR="0" wp14:anchorId="1F13F8C0" wp14:editId="5C3A96EB">
                <wp:extent cx="6845300" cy="20341"/>
                <wp:effectExtent l="0" t="0" r="0" b="0"/>
                <wp:docPr id="2514" name="Group 2514"/>
                <wp:cNvGraphicFramePr/>
                <a:graphic xmlns:a="http://schemas.openxmlformats.org/drawingml/2006/main">
                  <a:graphicData uri="http://schemas.microsoft.com/office/word/2010/wordprocessingGroup">
                    <wpg:wgp>
                      <wpg:cNvGrpSpPr/>
                      <wpg:grpSpPr>
                        <a:xfrm>
                          <a:off x="0" y="0"/>
                          <a:ext cx="6845300" cy="20341"/>
                          <a:chOff x="0" y="0"/>
                          <a:chExt cx="6845300" cy="20341"/>
                        </a:xfrm>
                      </wpg:grpSpPr>
                      <wps:wsp>
                        <wps:cNvPr id="2796" name="Shape 2796"/>
                        <wps:cNvSpPr/>
                        <wps:spPr>
                          <a:xfrm>
                            <a:off x="0" y="0"/>
                            <a:ext cx="6845300" cy="10170"/>
                          </a:xfrm>
                          <a:custGeom>
                            <a:avLst/>
                            <a:gdLst/>
                            <a:ahLst/>
                            <a:cxnLst/>
                            <a:rect l="0" t="0" r="0" b="0"/>
                            <a:pathLst>
                              <a:path w="6845300" h="10170">
                                <a:moveTo>
                                  <a:pt x="0" y="0"/>
                                </a:moveTo>
                                <a:lnTo>
                                  <a:pt x="6845300" y="0"/>
                                </a:lnTo>
                                <a:lnTo>
                                  <a:pt x="6845300" y="10170"/>
                                </a:lnTo>
                                <a:lnTo>
                                  <a:pt x="0" y="10170"/>
                                </a:lnTo>
                                <a:lnTo>
                                  <a:pt x="0" y="0"/>
                                </a:lnTo>
                              </a:path>
                            </a:pathLst>
                          </a:custGeom>
                          <a:ln w="0" cap="flat">
                            <a:miter lim="100000"/>
                          </a:ln>
                        </wps:spPr>
                        <wps:style>
                          <a:lnRef idx="0">
                            <a:srgbClr val="000000">
                              <a:alpha val="0"/>
                            </a:srgbClr>
                          </a:lnRef>
                          <a:fillRef idx="1">
                            <a:srgbClr val="9A9A9A"/>
                          </a:fillRef>
                          <a:effectRef idx="0">
                            <a:scrgbClr r="0" g="0" b="0"/>
                          </a:effectRef>
                          <a:fontRef idx="none"/>
                        </wps:style>
                        <wps:bodyPr/>
                      </wps:wsp>
                      <wps:wsp>
                        <wps:cNvPr id="2797" name="Shape 2797"/>
                        <wps:cNvSpPr/>
                        <wps:spPr>
                          <a:xfrm>
                            <a:off x="0" y="10170"/>
                            <a:ext cx="6845300" cy="10171"/>
                          </a:xfrm>
                          <a:custGeom>
                            <a:avLst/>
                            <a:gdLst/>
                            <a:ahLst/>
                            <a:cxnLst/>
                            <a:rect l="0" t="0" r="0" b="0"/>
                            <a:pathLst>
                              <a:path w="6845300" h="10171">
                                <a:moveTo>
                                  <a:pt x="0" y="0"/>
                                </a:moveTo>
                                <a:lnTo>
                                  <a:pt x="6845300" y="0"/>
                                </a:lnTo>
                                <a:lnTo>
                                  <a:pt x="6845300" y="10171"/>
                                </a:lnTo>
                                <a:lnTo>
                                  <a:pt x="0" y="10171"/>
                                </a:lnTo>
                                <a:lnTo>
                                  <a:pt x="0" y="0"/>
                                </a:lnTo>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147" name="Shape 147"/>
                        <wps:cNvSpPr/>
                        <wps:spPr>
                          <a:xfrm>
                            <a:off x="6835129" y="0"/>
                            <a:ext cx="10171" cy="20341"/>
                          </a:xfrm>
                          <a:custGeom>
                            <a:avLst/>
                            <a:gdLst/>
                            <a:ahLst/>
                            <a:cxnLst/>
                            <a:rect l="0" t="0" r="0" b="0"/>
                            <a:pathLst>
                              <a:path w="10171" h="20341">
                                <a:moveTo>
                                  <a:pt x="10171" y="0"/>
                                </a:moveTo>
                                <a:lnTo>
                                  <a:pt x="10171" y="20341"/>
                                </a:lnTo>
                                <a:lnTo>
                                  <a:pt x="0" y="20341"/>
                                </a:lnTo>
                                <a:lnTo>
                                  <a:pt x="0" y="10170"/>
                                </a:lnTo>
                                <a:lnTo>
                                  <a:pt x="10171" y="0"/>
                                </a:lnTo>
                                <a:close/>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148" name="Shape 148"/>
                        <wps:cNvSpPr/>
                        <wps:spPr>
                          <a:xfrm>
                            <a:off x="0" y="0"/>
                            <a:ext cx="10171" cy="20341"/>
                          </a:xfrm>
                          <a:custGeom>
                            <a:avLst/>
                            <a:gdLst/>
                            <a:ahLst/>
                            <a:cxnLst/>
                            <a:rect l="0" t="0" r="0" b="0"/>
                            <a:pathLst>
                              <a:path w="10171" h="20341">
                                <a:moveTo>
                                  <a:pt x="0" y="0"/>
                                </a:moveTo>
                                <a:lnTo>
                                  <a:pt x="10171" y="0"/>
                                </a:lnTo>
                                <a:lnTo>
                                  <a:pt x="10171" y="10170"/>
                                </a:lnTo>
                                <a:lnTo>
                                  <a:pt x="0" y="20341"/>
                                </a:lnTo>
                                <a:lnTo>
                                  <a:pt x="0" y="0"/>
                                </a:lnTo>
                                <a:close/>
                              </a:path>
                            </a:pathLst>
                          </a:custGeom>
                          <a:ln w="0" cap="flat">
                            <a:miter lim="100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514" style="width:539pt;height:1.60168pt;mso-position-horizontal-relative:char;mso-position-vertical-relative:line" coordsize="68453,203">
                <v:shape id="Shape 2798" style="position:absolute;width:68453;height:101;left:0;top:0;" coordsize="6845300,10170" path="m0,0l6845300,0l6845300,10170l0,10170l0,0">
                  <v:stroke weight="0pt" endcap="flat" joinstyle="miter" miterlimit="4" on="false" color="#000000" opacity="0"/>
                  <v:fill on="true" color="#9a9a9a"/>
                </v:shape>
                <v:shape id="Shape 2799" style="position:absolute;width:68453;height:101;left:0;top:101;" coordsize="6845300,10171" path="m0,0l6845300,0l6845300,10171l0,10171l0,0">
                  <v:stroke weight="0pt" endcap="flat" joinstyle="miter" miterlimit="4" on="false" color="#000000" opacity="0"/>
                  <v:fill on="true" color="#eeeeee"/>
                </v:shape>
                <v:shape id="Shape 147" style="position:absolute;width:101;height:203;left:68351;top:0;" coordsize="10171,20341" path="m10171,0l10171,20341l0,20341l0,10170l10171,0x">
                  <v:stroke weight="0pt" endcap="flat" joinstyle="miter" miterlimit="4" on="false" color="#000000" opacity="0"/>
                  <v:fill on="true" color="#eeeeee"/>
                </v:shape>
                <v:shape id="Shape 148" style="position:absolute;width:101;height:203;left:0;top:0;" coordsize="10171,20341" path="m0,0l10171,0l10171,10170l0,20341l0,0x">
                  <v:stroke weight="0pt" endcap="flat" joinstyle="miter" miterlimit="4" on="false" color="#000000" opacity="0"/>
                  <v:fill on="true" color="#9a9a9a"/>
                </v:shape>
              </v:group>
            </w:pict>
          </mc:Fallback>
        </mc:AlternateContent>
      </w:r>
    </w:p>
    <w:p w14:paraId="534074AD" w14:textId="77777777" w:rsidR="00CF29CA" w:rsidRDefault="000452A9">
      <w:pPr>
        <w:spacing w:after="194"/>
        <w:ind w:left="43" w:right="122"/>
      </w:pPr>
      <w:r>
        <w:t>Copyright notice</w:t>
      </w:r>
    </w:p>
    <w:p w14:paraId="6AC8E1EB" w14:textId="77777777" w:rsidR="00CF29CA" w:rsidRDefault="000452A9">
      <w:pPr>
        <w:spacing w:after="178"/>
        <w:ind w:left="43" w:right="122"/>
      </w:pPr>
      <w:r>
        <w:t>© Australian Taxation Office for the Commonwealth of Australia</w:t>
      </w:r>
    </w:p>
    <w:p w14:paraId="378FE2BE" w14:textId="77777777" w:rsidR="00CF29CA" w:rsidRDefault="000452A9">
      <w:pPr>
        <w:ind w:left="43"/>
      </w:pPr>
      <w:r>
        <w:t>You are free to copy, adapt, modify, transmit and distribute material on this website as you wish (but not in any way that suggests the ATO or the Commonwealth endorses you or any of your services or products).</w:t>
      </w:r>
    </w:p>
    <w:p w14:paraId="25FA5BEE" w14:textId="77777777" w:rsidR="00CF29CA" w:rsidRDefault="000452A9">
      <w:pPr>
        <w:spacing w:after="0" w:line="259" w:lineRule="auto"/>
        <w:ind w:left="0" w:right="-57" w:firstLine="0"/>
        <w:jc w:val="left"/>
      </w:pPr>
      <w:r>
        <w:rPr>
          <w:rFonts w:ascii="Calibri" w:eastAsia="Calibri" w:hAnsi="Calibri" w:cs="Calibri"/>
          <w:noProof/>
          <w:sz w:val="22"/>
        </w:rPr>
        <mc:AlternateContent>
          <mc:Choice Requires="wpg">
            <w:drawing>
              <wp:inline distT="0" distB="0" distL="0" distR="0" wp14:anchorId="4EBCA5EA" wp14:editId="3635D51B">
                <wp:extent cx="6845300" cy="20343"/>
                <wp:effectExtent l="0" t="0" r="0" b="0"/>
                <wp:docPr id="2515" name="Group 2515"/>
                <wp:cNvGraphicFramePr/>
                <a:graphic xmlns:a="http://schemas.openxmlformats.org/drawingml/2006/main">
                  <a:graphicData uri="http://schemas.microsoft.com/office/word/2010/wordprocessingGroup">
                    <wpg:wgp>
                      <wpg:cNvGrpSpPr/>
                      <wpg:grpSpPr>
                        <a:xfrm>
                          <a:off x="0" y="0"/>
                          <a:ext cx="6845300" cy="20343"/>
                          <a:chOff x="0" y="0"/>
                          <a:chExt cx="6845300" cy="20343"/>
                        </a:xfrm>
                      </wpg:grpSpPr>
                      <wps:wsp>
                        <wps:cNvPr id="2800" name="Shape 2800"/>
                        <wps:cNvSpPr/>
                        <wps:spPr>
                          <a:xfrm>
                            <a:off x="0" y="0"/>
                            <a:ext cx="6845300" cy="10171"/>
                          </a:xfrm>
                          <a:custGeom>
                            <a:avLst/>
                            <a:gdLst/>
                            <a:ahLst/>
                            <a:cxnLst/>
                            <a:rect l="0" t="0" r="0" b="0"/>
                            <a:pathLst>
                              <a:path w="6845300" h="10171">
                                <a:moveTo>
                                  <a:pt x="0" y="0"/>
                                </a:moveTo>
                                <a:lnTo>
                                  <a:pt x="6845300" y="0"/>
                                </a:lnTo>
                                <a:lnTo>
                                  <a:pt x="6845300" y="10171"/>
                                </a:lnTo>
                                <a:lnTo>
                                  <a:pt x="0" y="10171"/>
                                </a:lnTo>
                                <a:lnTo>
                                  <a:pt x="0" y="0"/>
                                </a:lnTo>
                              </a:path>
                            </a:pathLst>
                          </a:custGeom>
                          <a:ln w="0" cap="flat">
                            <a:miter lim="100000"/>
                          </a:ln>
                        </wps:spPr>
                        <wps:style>
                          <a:lnRef idx="0">
                            <a:srgbClr val="000000">
                              <a:alpha val="0"/>
                            </a:srgbClr>
                          </a:lnRef>
                          <a:fillRef idx="1">
                            <a:srgbClr val="9A9A9A"/>
                          </a:fillRef>
                          <a:effectRef idx="0">
                            <a:scrgbClr r="0" g="0" b="0"/>
                          </a:effectRef>
                          <a:fontRef idx="none"/>
                        </wps:style>
                        <wps:bodyPr/>
                      </wps:wsp>
                      <wps:wsp>
                        <wps:cNvPr id="2801" name="Shape 2801"/>
                        <wps:cNvSpPr/>
                        <wps:spPr>
                          <a:xfrm>
                            <a:off x="0" y="10171"/>
                            <a:ext cx="6845300" cy="10171"/>
                          </a:xfrm>
                          <a:custGeom>
                            <a:avLst/>
                            <a:gdLst/>
                            <a:ahLst/>
                            <a:cxnLst/>
                            <a:rect l="0" t="0" r="0" b="0"/>
                            <a:pathLst>
                              <a:path w="6845300" h="10171">
                                <a:moveTo>
                                  <a:pt x="0" y="0"/>
                                </a:moveTo>
                                <a:lnTo>
                                  <a:pt x="6845300" y="0"/>
                                </a:lnTo>
                                <a:lnTo>
                                  <a:pt x="6845300" y="10171"/>
                                </a:lnTo>
                                <a:lnTo>
                                  <a:pt x="0" y="10171"/>
                                </a:lnTo>
                                <a:lnTo>
                                  <a:pt x="0" y="0"/>
                                </a:lnTo>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151" name="Shape 151"/>
                        <wps:cNvSpPr/>
                        <wps:spPr>
                          <a:xfrm>
                            <a:off x="6835129" y="0"/>
                            <a:ext cx="10171" cy="20343"/>
                          </a:xfrm>
                          <a:custGeom>
                            <a:avLst/>
                            <a:gdLst/>
                            <a:ahLst/>
                            <a:cxnLst/>
                            <a:rect l="0" t="0" r="0" b="0"/>
                            <a:pathLst>
                              <a:path w="10171" h="20343">
                                <a:moveTo>
                                  <a:pt x="10171" y="0"/>
                                </a:moveTo>
                                <a:lnTo>
                                  <a:pt x="10171" y="20343"/>
                                </a:lnTo>
                                <a:lnTo>
                                  <a:pt x="0" y="20343"/>
                                </a:lnTo>
                                <a:lnTo>
                                  <a:pt x="0" y="10171"/>
                                </a:lnTo>
                                <a:lnTo>
                                  <a:pt x="10171" y="0"/>
                                </a:lnTo>
                                <a:close/>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152" name="Shape 152"/>
                        <wps:cNvSpPr/>
                        <wps:spPr>
                          <a:xfrm>
                            <a:off x="0" y="0"/>
                            <a:ext cx="10171" cy="20343"/>
                          </a:xfrm>
                          <a:custGeom>
                            <a:avLst/>
                            <a:gdLst/>
                            <a:ahLst/>
                            <a:cxnLst/>
                            <a:rect l="0" t="0" r="0" b="0"/>
                            <a:pathLst>
                              <a:path w="10171" h="20343">
                                <a:moveTo>
                                  <a:pt x="0" y="0"/>
                                </a:moveTo>
                                <a:lnTo>
                                  <a:pt x="10171" y="0"/>
                                </a:lnTo>
                                <a:lnTo>
                                  <a:pt x="10171" y="10171"/>
                                </a:lnTo>
                                <a:lnTo>
                                  <a:pt x="0" y="20343"/>
                                </a:lnTo>
                                <a:lnTo>
                                  <a:pt x="0" y="0"/>
                                </a:lnTo>
                                <a:close/>
                              </a:path>
                            </a:pathLst>
                          </a:custGeom>
                          <a:ln w="0" cap="flat">
                            <a:miter lim="100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515" style="width:539pt;height:1.60181pt;mso-position-horizontal-relative:char;mso-position-vertical-relative:line" coordsize="68453,203">
                <v:shape id="Shape 2802" style="position:absolute;width:68453;height:101;left:0;top:0;" coordsize="6845300,10171" path="m0,0l6845300,0l6845300,10171l0,10171l0,0">
                  <v:stroke weight="0pt" endcap="flat" joinstyle="miter" miterlimit="4" on="false" color="#000000" opacity="0"/>
                  <v:fill on="true" color="#9a9a9a"/>
                </v:shape>
                <v:shape id="Shape 2803" style="position:absolute;width:68453;height:101;left:0;top:101;" coordsize="6845300,10171" path="m0,0l6845300,0l6845300,10171l0,10171l0,0">
                  <v:stroke weight="0pt" endcap="flat" joinstyle="miter" miterlimit="4" on="false" color="#000000" opacity="0"/>
                  <v:fill on="true" color="#eeeeee"/>
                </v:shape>
                <v:shape id="Shape 151" style="position:absolute;width:101;height:203;left:68351;top:0;" coordsize="10171,20343" path="m10171,0l10171,20343l0,20343l0,10171l10171,0x">
                  <v:stroke weight="0pt" endcap="flat" joinstyle="miter" miterlimit="4" on="false" color="#000000" opacity="0"/>
                  <v:fill on="true" color="#eeeeee"/>
                </v:shape>
                <v:shape id="Shape 152" style="position:absolute;width:101;height:203;left:0;top:0;" coordsize="10171,20343" path="m0,0l10171,0l10171,10171l0,20343l0,0x">
                  <v:stroke weight="0pt" endcap="flat" joinstyle="miter" miterlimit="4" on="false" color="#000000" opacity="0"/>
                  <v:fill on="true" color="#9a9a9a"/>
                </v:shape>
              </v:group>
            </w:pict>
          </mc:Fallback>
        </mc:AlternateContent>
      </w:r>
    </w:p>
    <w:sectPr w:rsidR="00CF29CA">
      <w:pgSz w:w="11920" w:h="16860"/>
      <w:pgMar w:top="579" w:right="617" w:bottom="696"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CA"/>
    <w:rsid w:val="000452A9"/>
    <w:rsid w:val="00521F4D"/>
    <w:rsid w:val="00CF2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2518"/>
  <w15:docId w15:val="{B2008A84-F6F1-4990-A6E0-ED7A44AB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58"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122"/>
      <w:ind w:left="58" w:hanging="10"/>
      <w:outlineLvl w:val="0"/>
    </w:pPr>
    <w:rPr>
      <w:rFonts w:ascii="Arial" w:eastAsia="Arial" w:hAnsi="Arial" w:cs="Arial"/>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Balogh</dc:creator>
  <cp:keywords/>
  <cp:lastModifiedBy>Derek</cp:lastModifiedBy>
  <cp:revision>2</cp:revision>
  <dcterms:created xsi:type="dcterms:W3CDTF">2019-12-03T05:52:00Z</dcterms:created>
  <dcterms:modified xsi:type="dcterms:W3CDTF">2019-12-03T05:52:00Z</dcterms:modified>
</cp:coreProperties>
</file>